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proofErr w:type="spellStart"/>
      <w:r w:rsidRPr="00F4704B">
        <w:rPr>
          <w:rFonts w:ascii="Arial" w:hAnsi="Arial" w:cs="Arial"/>
          <w:b/>
          <w:bCs/>
        </w:rPr>
        <w:t>Biashara</w:t>
      </w:r>
      <w:proofErr w:type="spellEnd"/>
      <w:r w:rsidR="00F4704B" w:rsidRPr="00F4704B">
        <w:rPr>
          <w:rFonts w:ascii="Arial" w:hAnsi="Arial" w:cs="Arial"/>
          <w:b/>
          <w:bCs/>
        </w:rPr>
        <w:t xml:space="preserve"> </w:t>
      </w:r>
      <w:proofErr w:type="spellStart"/>
      <w:r w:rsidRPr="00F4704B">
        <w:rPr>
          <w:rFonts w:ascii="Arial" w:hAnsi="Arial" w:cs="Arial"/>
          <w:b/>
          <w:bCs/>
        </w:rPr>
        <w:t>Pawa</w:t>
      </w:r>
      <w:proofErr w:type="spellEnd"/>
      <w:r w:rsidRPr="00F4704B">
        <w:rPr>
          <w:rFonts w:ascii="Arial" w:hAnsi="Arial" w:cs="Arial"/>
          <w:b/>
          <w:bCs/>
        </w:rPr>
        <w:t xml:space="preserve"> Dialogue in </w:t>
      </w:r>
      <w:proofErr w:type="spellStart"/>
      <w:r w:rsidRPr="00F4704B">
        <w:rPr>
          <w:rFonts w:ascii="Arial" w:hAnsi="Arial" w:cs="Arial"/>
          <w:b/>
          <w:bCs/>
        </w:rPr>
        <w:t>Uasin</w:t>
      </w:r>
      <w:proofErr w:type="spellEnd"/>
      <w:r w:rsidRPr="00F4704B">
        <w:rPr>
          <w:rFonts w:ascii="Arial" w:hAnsi="Arial" w:cs="Arial"/>
          <w:b/>
          <w:bCs/>
        </w:rPr>
        <w:t xml:space="preserve"> Gishu County Reveals Need </w:t>
      </w:r>
      <w:proofErr w:type="gramStart"/>
      <w:r w:rsidRPr="00F4704B">
        <w:rPr>
          <w:rFonts w:ascii="Arial" w:hAnsi="Arial" w:cs="Arial"/>
          <w:b/>
          <w:bCs/>
        </w:rPr>
        <w:t>To</w:t>
      </w:r>
      <w:proofErr w:type="gramEnd"/>
      <w:r w:rsidRPr="00F4704B">
        <w:rPr>
          <w:rFonts w:ascii="Arial" w:hAnsi="Arial" w:cs="Arial"/>
          <w:b/>
          <w:bCs/>
        </w:rPr>
        <w:t xml:space="preserve"> Build an Inclusive </w:t>
      </w:r>
      <w:bookmarkEnd w:id="0"/>
      <w:r w:rsidRPr="00F4704B">
        <w:rPr>
          <w:rFonts w:ascii="Arial" w:hAnsi="Arial" w:cs="Arial"/>
          <w:b/>
          <w:bCs/>
        </w:rPr>
        <w:t xml:space="preserve">Entrepreneurship Ecosystem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 xml:space="preserve">Summary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Bringing together women and youth entrepreneurs, county government, financial institutions, entrepreneurship ecosystem </w:t>
      </w:r>
      <w:proofErr w:type="spellStart"/>
      <w:r w:rsidRPr="00F4704B">
        <w:rPr>
          <w:rFonts w:ascii="Arial" w:hAnsi="Arial" w:cs="Arial"/>
        </w:rPr>
        <w:t>organisations</w:t>
      </w:r>
      <w:proofErr w:type="spellEnd"/>
      <w:r w:rsidRPr="00F4704B">
        <w:rPr>
          <w:rFonts w:ascii="Arial" w:hAnsi="Arial" w:cs="Arial"/>
        </w:rPr>
        <w:t xml:space="preserve">, academia, and private sector actors, the </w:t>
      </w:r>
      <w:proofErr w:type="spellStart"/>
      <w:r w:rsidRPr="00F4704B">
        <w:rPr>
          <w:rFonts w:ascii="Arial" w:hAnsi="Arial" w:cs="Arial"/>
        </w:rPr>
        <w:t>Biashara</w:t>
      </w:r>
      <w:proofErr w:type="spellEnd"/>
      <w:r w:rsidRPr="00F4704B">
        <w:rPr>
          <w:rFonts w:ascii="Arial" w:hAnsi="Arial" w:cs="Arial"/>
        </w:rPr>
        <w:t xml:space="preserve"> </w:t>
      </w:r>
      <w:proofErr w:type="spellStart"/>
      <w:r w:rsidRPr="00F4704B">
        <w:rPr>
          <w:rFonts w:ascii="Arial" w:hAnsi="Arial" w:cs="Arial"/>
        </w:rPr>
        <w:t>Pawa</w:t>
      </w:r>
      <w:proofErr w:type="spellEnd"/>
      <w:r w:rsidRPr="00F4704B">
        <w:rPr>
          <w:rFonts w:ascii="Arial" w:hAnsi="Arial" w:cs="Arial"/>
        </w:rPr>
        <w:t xml:space="preserve"> dialogue event surfaced clear barriers</w:t>
      </w:r>
      <w:r w:rsidR="00F4704B" w:rsidRPr="00F4704B">
        <w:rPr>
          <w:rFonts w:ascii="Arial" w:hAnsi="Arial" w:cs="Arial"/>
        </w:rPr>
        <w:t xml:space="preserve"> such as: </w:t>
      </w:r>
      <w:r w:rsidRPr="00F4704B">
        <w:rPr>
          <w:rFonts w:ascii="Arial" w:hAnsi="Arial" w:cs="Arial"/>
        </w:rPr>
        <w:t>finance access, infrastructure, skills gaps, and market linkages</w:t>
      </w:r>
      <w:r w:rsidR="00F4704B" w:rsidRPr="00F4704B">
        <w:rPr>
          <w:rFonts w:ascii="Arial" w:hAnsi="Arial" w:cs="Arial"/>
        </w:rPr>
        <w:t xml:space="preserve">; </w:t>
      </w:r>
      <w:r w:rsidRPr="00F4704B">
        <w:rPr>
          <w:rFonts w:ascii="Arial" w:hAnsi="Arial" w:cs="Arial"/>
        </w:rPr>
        <w:t>and identified actionable next steps. The event’s insights reinforced that county-level collaboration can accelerate inclusive enterprise growth when backed by coordinated implementation, local conveners, and sustained investment.</w:t>
      </w:r>
      <w:r w:rsidR="00F2471A">
        <w:rPr>
          <w:rFonts w:ascii="Arial" w:hAnsi="Arial" w:cs="Arial"/>
        </w:rPr>
        <w:t xml:space="preserve"> </w:t>
      </w:r>
      <w:r w:rsidR="00F2471A" w:rsidRPr="00F2471A">
        <w:rPr>
          <w:rFonts w:ascii="Arial" w:hAnsi="Arial" w:cs="Arial"/>
        </w:rPr>
        <w:t xml:space="preserve">These challenges mirror national trends, </w:t>
      </w:r>
      <w:hyperlink r:id="rId7" w:history="1">
        <w:r w:rsidR="00F2471A" w:rsidRPr="00F2471A">
          <w:rPr>
            <w:rStyle w:val="Hyperlink"/>
            <w:rFonts w:ascii="Arial" w:hAnsi="Arial" w:cs="Arial"/>
          </w:rPr>
          <w:t>where only 26.3% of women-led MSMEs access formal finance due to collateral and credit history issues</w:t>
        </w:r>
      </w:hyperlink>
    </w:p>
    <w:p w:rsidR="00F4704B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 xml:space="preserve">The Entrepreneurship Story That Unveiled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The first </w:t>
      </w:r>
      <w:proofErr w:type="spellStart"/>
      <w:r w:rsidRPr="00F4704B">
        <w:rPr>
          <w:rFonts w:ascii="Arial" w:hAnsi="Arial" w:cs="Arial"/>
        </w:rPr>
        <w:t>Biashara</w:t>
      </w:r>
      <w:proofErr w:type="spellEnd"/>
      <w:r w:rsidRPr="00F4704B">
        <w:rPr>
          <w:rFonts w:ascii="Arial" w:hAnsi="Arial" w:cs="Arial"/>
        </w:rPr>
        <w:t xml:space="preserve"> </w:t>
      </w:r>
      <w:proofErr w:type="spellStart"/>
      <w:r w:rsidRPr="00F4704B">
        <w:rPr>
          <w:rFonts w:ascii="Arial" w:hAnsi="Arial" w:cs="Arial"/>
        </w:rPr>
        <w:t>Pawa</w:t>
      </w:r>
      <w:proofErr w:type="spellEnd"/>
      <w:r w:rsidRPr="00F4704B">
        <w:rPr>
          <w:rFonts w:ascii="Arial" w:hAnsi="Arial" w:cs="Arial"/>
        </w:rPr>
        <w:t xml:space="preserve"> </w:t>
      </w:r>
      <w:r w:rsidR="006447E5">
        <w:rPr>
          <w:rFonts w:ascii="Arial" w:hAnsi="Arial" w:cs="Arial"/>
        </w:rPr>
        <w:t>d</w:t>
      </w:r>
      <w:r w:rsidRPr="00F4704B">
        <w:rPr>
          <w:rFonts w:ascii="Arial" w:hAnsi="Arial" w:cs="Arial"/>
        </w:rPr>
        <w:t xml:space="preserve">ialogue in </w:t>
      </w:r>
      <w:proofErr w:type="spellStart"/>
      <w:r w:rsidRPr="00F4704B">
        <w:rPr>
          <w:rFonts w:ascii="Arial" w:hAnsi="Arial" w:cs="Arial"/>
        </w:rPr>
        <w:t>Uasin</w:t>
      </w:r>
      <w:proofErr w:type="spellEnd"/>
      <w:r w:rsidRPr="00F4704B">
        <w:rPr>
          <w:rFonts w:ascii="Arial" w:hAnsi="Arial" w:cs="Arial"/>
        </w:rPr>
        <w:t xml:space="preserve"> Gishu sends a positive signal that </w:t>
      </w:r>
      <w:r w:rsidRPr="00F4704B">
        <w:rPr>
          <w:rFonts w:ascii="Arial" w:hAnsi="Arial" w:cs="Arial"/>
          <w:bCs/>
        </w:rPr>
        <w:t>inclusive entrepreneurship support is urgently needed, collaboration is possible, and county-level action can unlock real economic opportunity</w:t>
      </w:r>
      <w:r w:rsidRPr="00F4704B">
        <w:rPr>
          <w:rFonts w:ascii="Arial" w:hAnsi="Arial" w:cs="Arial"/>
        </w:rPr>
        <w:t>.</w:t>
      </w:r>
      <w:r w:rsidR="00F2471A">
        <w:rPr>
          <w:rFonts w:ascii="Arial" w:hAnsi="Arial" w:cs="Arial"/>
        </w:rPr>
        <w:t xml:space="preserve">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Held under the IYBA-SEED initiative and implemented through SNV, Responsible Business Consulting (RBC), and </w:t>
      </w:r>
      <w:proofErr w:type="spellStart"/>
      <w:r w:rsidRPr="00F4704B">
        <w:rPr>
          <w:rFonts w:ascii="Arial" w:hAnsi="Arial" w:cs="Arial"/>
        </w:rPr>
        <w:t>EldoHub</w:t>
      </w:r>
      <w:proofErr w:type="spellEnd"/>
      <w:r w:rsidRPr="00F4704B">
        <w:rPr>
          <w:rFonts w:ascii="Arial" w:hAnsi="Arial" w:cs="Arial"/>
        </w:rPr>
        <w:t xml:space="preserve">, the dialogue convened entrepreneurs, county and national agencies, financial institutions, academia, business associations, and enterprise support </w:t>
      </w:r>
      <w:proofErr w:type="spellStart"/>
      <w:r w:rsidRPr="00F4704B">
        <w:rPr>
          <w:rFonts w:ascii="Arial" w:hAnsi="Arial" w:cs="Arial"/>
        </w:rPr>
        <w:t>organisations</w:t>
      </w:r>
      <w:proofErr w:type="spellEnd"/>
      <w:r w:rsidRPr="00F4704B">
        <w:rPr>
          <w:rFonts w:ascii="Arial" w:hAnsi="Arial" w:cs="Arial"/>
        </w:rPr>
        <w:t>. Its purpose was not only to convene—but to identify barriers, surface practical solutions, and strengthen the systems that shape enterprise growth for women and youth.</w:t>
      </w:r>
    </w:p>
    <w:p w:rsidR="004F510D" w:rsidRPr="00F4704B" w:rsidRDefault="004F510D" w:rsidP="00F2471A">
      <w:pPr>
        <w:spacing w:after="210"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This is particularly relevant for </w:t>
      </w:r>
      <w:proofErr w:type="spellStart"/>
      <w:r w:rsidRPr="00F4704B">
        <w:rPr>
          <w:rFonts w:ascii="Arial" w:hAnsi="Arial" w:cs="Arial"/>
        </w:rPr>
        <w:t>Uasin</w:t>
      </w:r>
      <w:proofErr w:type="spellEnd"/>
      <w:r w:rsidRPr="00F4704B">
        <w:rPr>
          <w:rFonts w:ascii="Arial" w:hAnsi="Arial" w:cs="Arial"/>
        </w:rPr>
        <w:t xml:space="preserve"> Gishu</w:t>
      </w:r>
      <w:r w:rsidR="00F2471A">
        <w:rPr>
          <w:rFonts w:ascii="Arial" w:hAnsi="Arial" w:cs="Arial"/>
        </w:rPr>
        <w:t>, as the</w:t>
      </w:r>
      <w:r w:rsidRPr="00F4704B">
        <w:rPr>
          <w:rFonts w:ascii="Arial" w:hAnsi="Arial" w:cs="Arial"/>
        </w:rPr>
        <w:t xml:space="preserve"> county </w:t>
      </w:r>
      <w:r w:rsidR="00F2471A" w:rsidRPr="00F4704B">
        <w:rPr>
          <w:rFonts w:ascii="Arial" w:hAnsi="Arial" w:cs="Arial"/>
        </w:rPr>
        <w:t>is</w:t>
      </w:r>
      <w:r w:rsidR="00F2471A" w:rsidRPr="00F2471A">
        <w:rPr>
          <w:rFonts w:ascii="Arial" w:eastAsia="Georgia" w:hAnsi="Arial" w:cs="Arial"/>
          <w:color w:val="000000"/>
        </w:rPr>
        <w:t xml:space="preserve"> Kenya's </w:t>
      </w:r>
      <w:hyperlink r:id="rId8" w:history="1">
        <w:r w:rsidR="00F2471A" w:rsidRPr="00F2471A">
          <w:rPr>
            <w:rFonts w:ascii="Arial" w:eastAsia="Georgia" w:hAnsi="Arial" w:cs="Arial"/>
            <w:color w:val="0563C1" w:themeColor="hyperlink"/>
            <w:u w:val="single"/>
          </w:rPr>
          <w:t>‘breadbasket’ where agriculture contributes 80% of rural income via 90% arable land</w:t>
        </w:r>
      </w:hyperlink>
      <w:r w:rsidR="00F2471A" w:rsidRPr="00F2471A">
        <w:rPr>
          <w:rFonts w:ascii="Arial" w:eastAsia="Georgia" w:hAnsi="Arial" w:cs="Arial"/>
          <w:color w:val="000000"/>
        </w:rPr>
        <w:t>.</w:t>
      </w:r>
      <w:bookmarkStart w:id="1" w:name="fnref3"/>
      <w:bookmarkEnd w:id="1"/>
      <w:r w:rsidR="00F2471A">
        <w:rPr>
          <w:rFonts w:ascii="Arial" w:eastAsia="Georgia" w:hAnsi="Arial" w:cs="Arial"/>
          <w:color w:val="000000"/>
        </w:rPr>
        <w:t xml:space="preserve"> At the same time,</w:t>
      </w:r>
      <w:r w:rsidRPr="00F4704B">
        <w:rPr>
          <w:rFonts w:ascii="Arial" w:hAnsi="Arial" w:cs="Arial"/>
        </w:rPr>
        <w:t xml:space="preserve"> it also has growing businesses and economy in technology, manufacturing, green enterprise, services, and innovation-led sectors. The dialogue underscored the wider national challenge, also playing out in the county: </w:t>
      </w:r>
      <w:r w:rsidRPr="00F4704B">
        <w:rPr>
          <w:rFonts w:ascii="Arial" w:hAnsi="Arial" w:cs="Arial"/>
          <w:bCs/>
        </w:rPr>
        <w:t>women and youth remain underrepresented in higher-growth sectors because of structural constraints, not lack of ambition or potential</w:t>
      </w:r>
      <w:r w:rsidRPr="00F4704B">
        <w:rPr>
          <w:rFonts w:ascii="Arial" w:hAnsi="Arial" w:cs="Arial"/>
        </w:rPr>
        <w:t>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The Barriers Are Known</w:t>
      </w:r>
      <w:r w:rsidR="00F4704B" w:rsidRPr="00F4704B">
        <w:rPr>
          <w:rFonts w:ascii="Arial" w:hAnsi="Arial" w:cs="Arial"/>
          <w:b/>
          <w:bCs/>
        </w:rPr>
        <w:t xml:space="preserve">, And </w:t>
      </w:r>
      <w:r w:rsidRPr="00F4704B">
        <w:rPr>
          <w:rFonts w:ascii="Arial" w:hAnsi="Arial" w:cs="Arial"/>
          <w:b/>
          <w:bCs/>
        </w:rPr>
        <w:t>Still</w:t>
      </w:r>
      <w:r w:rsidR="00F4704B" w:rsidRPr="00F4704B">
        <w:rPr>
          <w:rFonts w:ascii="Arial" w:hAnsi="Arial" w:cs="Arial"/>
          <w:b/>
          <w:bCs/>
        </w:rPr>
        <w:t xml:space="preserve"> Remain</w:t>
      </w:r>
      <w:r w:rsidRPr="00F4704B">
        <w:rPr>
          <w:rFonts w:ascii="Arial" w:hAnsi="Arial" w:cs="Arial"/>
          <w:b/>
          <w:bCs/>
        </w:rPr>
        <w:t xml:space="preserve"> Urgent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Across the discussions, participants identified familiar but persistent barriers that continue to hold back women- and youth-led enterprises: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lastRenderedPageBreak/>
        <w:t>Limited access to finance, especially for entrepreneurs without collateral, formal records, or credit history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Skills and capability gaps, including financial literacy, digital literacy, and regulatory understanding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Weak infrastructure (roads, water, sewer systems, connectivity) that undermines productivity and growth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Limited market access and weak business linkages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Social and cultural norms that continue to shape sector participation, especially for women in technical sectors</w:t>
      </w:r>
    </w:p>
    <w:p w:rsidR="004F510D" w:rsidRPr="00F4704B" w:rsidRDefault="004F510D" w:rsidP="00F4704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Information asymmetry, where support exists but entrepreneurs struggle to navigate institutions and </w:t>
      </w:r>
      <w:proofErr w:type="spellStart"/>
      <w:r w:rsidRPr="00F4704B">
        <w:rPr>
          <w:rFonts w:ascii="Arial" w:hAnsi="Arial" w:cs="Arial"/>
        </w:rPr>
        <w:t>programmes</w:t>
      </w:r>
      <w:proofErr w:type="spellEnd"/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A key insight from the event was that </w:t>
      </w:r>
      <w:r w:rsidRPr="00F4704B">
        <w:rPr>
          <w:rFonts w:ascii="Arial" w:hAnsi="Arial" w:cs="Arial"/>
          <w:bCs/>
        </w:rPr>
        <w:t>many support mechanisms already exist</w:t>
      </w:r>
      <w:r w:rsidRPr="00F4704B">
        <w:rPr>
          <w:rFonts w:ascii="Arial" w:hAnsi="Arial" w:cs="Arial"/>
        </w:rPr>
        <w:t>—through county government offices, national agencies, banks, SACCOs, cooperatives, and business networks. However, these mechanisms are often fragmented, difficult to access, or poorly coordinated from the entrepreneur’s point of view.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This is where ecosystem-building becomes essential</w:t>
      </w:r>
      <w:r w:rsidR="00F2471A">
        <w:rPr>
          <w:rFonts w:ascii="Arial" w:hAnsi="Arial" w:cs="Arial"/>
        </w:rPr>
        <w:t xml:space="preserve">, </w:t>
      </w:r>
      <w:r w:rsidR="00F2471A" w:rsidRPr="00D75805">
        <w:rPr>
          <w:rFonts w:ascii="Arial" w:eastAsia="Georgia" w:hAnsi="Arial" w:cs="Arial"/>
          <w:color w:val="000000"/>
        </w:rPr>
        <w:t xml:space="preserve">as seen continent-wide where </w:t>
      </w:r>
      <w:hyperlink r:id="rId9" w:history="1">
        <w:r w:rsidR="00F2471A" w:rsidRPr="00F849F9">
          <w:rPr>
            <w:rStyle w:val="Hyperlink"/>
            <w:rFonts w:ascii="Arial" w:eastAsia="Georgia" w:hAnsi="Arial" w:cs="Arial"/>
          </w:rPr>
          <w:t>Sub-Saharan Africa's 26% female entrepreneurial activity yields 34% lower profits for women</w:t>
        </w:r>
      </w:hyperlink>
      <w:r w:rsidR="00F2471A" w:rsidRPr="00D75805">
        <w:rPr>
          <w:rFonts w:ascii="Arial" w:eastAsia="Georgia" w:hAnsi="Arial" w:cs="Arial"/>
          <w:color w:val="000000"/>
        </w:rPr>
        <w:t>.</w:t>
      </w:r>
      <w:r w:rsidRPr="00F4704B">
        <w:rPr>
          <w:rFonts w:ascii="Arial" w:hAnsi="Arial" w:cs="Arial"/>
        </w:rPr>
        <w:t xml:space="preserve"> County dialogues like </w:t>
      </w:r>
      <w:proofErr w:type="spellStart"/>
      <w:r w:rsidRPr="00F4704B">
        <w:rPr>
          <w:rFonts w:ascii="Arial" w:hAnsi="Arial" w:cs="Arial"/>
        </w:rPr>
        <w:t>Biashara</w:t>
      </w:r>
      <w:proofErr w:type="spellEnd"/>
      <w:r w:rsidRPr="00F4704B">
        <w:rPr>
          <w:rFonts w:ascii="Arial" w:hAnsi="Arial" w:cs="Arial"/>
        </w:rPr>
        <w:t xml:space="preserve"> </w:t>
      </w:r>
      <w:proofErr w:type="spellStart"/>
      <w:r w:rsidRPr="00F4704B">
        <w:rPr>
          <w:rFonts w:ascii="Arial" w:hAnsi="Arial" w:cs="Arial"/>
        </w:rPr>
        <w:t>Pawa</w:t>
      </w:r>
      <w:proofErr w:type="spellEnd"/>
      <w:r w:rsidRPr="00F4704B">
        <w:rPr>
          <w:rFonts w:ascii="Arial" w:hAnsi="Arial" w:cs="Arial"/>
        </w:rPr>
        <w:t xml:space="preserve"> can help bridge the gap between institutions and entrepreneurs by creating shared understanding, practical partnerships, and clearer pathways to support.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Actionable Ecosystem Intelligence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What made the </w:t>
      </w:r>
      <w:proofErr w:type="spellStart"/>
      <w:r w:rsidRPr="00F4704B">
        <w:rPr>
          <w:rFonts w:ascii="Arial" w:hAnsi="Arial" w:cs="Arial"/>
        </w:rPr>
        <w:t>Uasin</w:t>
      </w:r>
      <w:proofErr w:type="spellEnd"/>
      <w:r w:rsidRPr="00F4704B">
        <w:rPr>
          <w:rFonts w:ascii="Arial" w:hAnsi="Arial" w:cs="Arial"/>
        </w:rPr>
        <w:t xml:space="preserve"> Gishu event valuable was not just participation levels, but the quality of inputs generated</w:t>
      </w:r>
      <w:r w:rsidR="00F4704B" w:rsidRPr="00F4704B">
        <w:rPr>
          <w:rFonts w:ascii="Arial" w:hAnsi="Arial" w:cs="Arial"/>
        </w:rPr>
        <w:t xml:space="preserve"> from the discussions</w:t>
      </w:r>
      <w:r w:rsidRPr="00F4704B">
        <w:rPr>
          <w:rFonts w:ascii="Arial" w:hAnsi="Arial" w:cs="Arial"/>
        </w:rPr>
        <w:t>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Participants moved beyond broad conversation </w:t>
      </w:r>
      <w:r w:rsidR="00F4704B" w:rsidRPr="00F4704B">
        <w:rPr>
          <w:rFonts w:ascii="Arial" w:hAnsi="Arial" w:cs="Arial"/>
        </w:rPr>
        <w:t>to contributing to</w:t>
      </w:r>
      <w:r w:rsidRPr="00F4704B">
        <w:rPr>
          <w:rFonts w:ascii="Arial" w:hAnsi="Arial" w:cs="Arial"/>
        </w:rPr>
        <w:t xml:space="preserve"> sector-specific insights </w:t>
      </w:r>
      <w:r w:rsidR="00F4704B" w:rsidRPr="00F4704B">
        <w:rPr>
          <w:rFonts w:ascii="Arial" w:hAnsi="Arial" w:cs="Arial"/>
        </w:rPr>
        <w:t xml:space="preserve">for </w:t>
      </w:r>
      <w:r w:rsidRPr="00F4704B">
        <w:rPr>
          <w:rFonts w:ascii="Arial" w:hAnsi="Arial" w:cs="Arial"/>
        </w:rPr>
        <w:t xml:space="preserve">agriculture and agribusiness, technology, manufacturing and engineering, financial services, green and circular economy, and WASH. The forum also captured action and recommendations for </w:t>
      </w:r>
      <w:r w:rsidR="00F4704B" w:rsidRPr="00F4704B">
        <w:rPr>
          <w:rFonts w:ascii="Arial" w:hAnsi="Arial" w:cs="Arial"/>
        </w:rPr>
        <w:t>various actors in the entrepreneurship ecosystem</w:t>
      </w:r>
      <w:r w:rsidRPr="00F4704B">
        <w:rPr>
          <w:rFonts w:ascii="Arial" w:hAnsi="Arial" w:cs="Arial"/>
        </w:rPr>
        <w:t>.</w:t>
      </w:r>
    </w:p>
    <w:p w:rsidR="004F510D" w:rsidRPr="00F4704B" w:rsidRDefault="00F4704B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</w:rPr>
        <w:lastRenderedPageBreak/>
        <w:t>This</w:t>
      </w:r>
      <w:r w:rsidR="004F510D" w:rsidRPr="00F4704B">
        <w:rPr>
          <w:rFonts w:ascii="Arial" w:hAnsi="Arial" w:cs="Arial"/>
          <w:bCs/>
        </w:rPr>
        <w:t xml:space="preserve"> convening opened up the consideration that county-level ecosystem dialogues </w:t>
      </w:r>
      <w:r w:rsidRPr="00F4704B">
        <w:rPr>
          <w:rFonts w:ascii="Arial" w:hAnsi="Arial" w:cs="Arial"/>
          <w:bCs/>
        </w:rPr>
        <w:t xml:space="preserve">can really be </w:t>
      </w:r>
      <w:r w:rsidR="004F510D" w:rsidRPr="00F4704B">
        <w:rPr>
          <w:rFonts w:ascii="Arial" w:hAnsi="Arial" w:cs="Arial"/>
          <w:bCs/>
        </w:rPr>
        <w:t>mechanisms for gathering practical intelligence and shaping better investments</w:t>
      </w:r>
      <w:r w:rsidRPr="00F4704B">
        <w:rPr>
          <w:rFonts w:ascii="Arial" w:hAnsi="Arial" w:cs="Arial"/>
          <w:bCs/>
        </w:rPr>
        <w:t>, rather than simply an event</w:t>
      </w:r>
      <w:r w:rsidR="004F510D" w:rsidRPr="00F4704B">
        <w:rPr>
          <w:rFonts w:ascii="Arial" w:hAnsi="Arial" w:cs="Arial"/>
        </w:rPr>
        <w:t>.</w:t>
      </w:r>
    </w:p>
    <w:p w:rsidR="004F510D" w:rsidRPr="00F4704B" w:rsidRDefault="00F4704B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>For policymakers, the dialogue’s insights point</w:t>
      </w:r>
      <w:r w:rsidR="004F510D" w:rsidRPr="00F4704B">
        <w:rPr>
          <w:rFonts w:ascii="Arial" w:hAnsi="Arial" w:cs="Arial"/>
        </w:rPr>
        <w:t xml:space="preserve"> to </w:t>
      </w:r>
      <w:r w:rsidRPr="00F4704B">
        <w:rPr>
          <w:rFonts w:ascii="Arial" w:hAnsi="Arial" w:cs="Arial"/>
        </w:rPr>
        <w:t xml:space="preserve">the pressing need for a concrete </w:t>
      </w:r>
      <w:r w:rsidR="004F510D" w:rsidRPr="00F4704B">
        <w:rPr>
          <w:rFonts w:ascii="Arial" w:hAnsi="Arial" w:cs="Arial"/>
        </w:rPr>
        <w:t>agenda focused on infrastructure, financing, skills alignment, and participatory policy design.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For local </w:t>
      </w:r>
      <w:r w:rsidR="00F4704B" w:rsidRPr="00F4704B">
        <w:rPr>
          <w:rFonts w:ascii="Arial" w:hAnsi="Arial" w:cs="Arial"/>
        </w:rPr>
        <w:t xml:space="preserve">entrepreneurship </w:t>
      </w:r>
      <w:r w:rsidRPr="00F4704B">
        <w:rPr>
          <w:rFonts w:ascii="Arial" w:hAnsi="Arial" w:cs="Arial"/>
        </w:rPr>
        <w:t>ecosystem actors, it reinforce</w:t>
      </w:r>
      <w:r w:rsidR="00F4704B" w:rsidRPr="00F4704B">
        <w:rPr>
          <w:rFonts w:ascii="Arial" w:hAnsi="Arial" w:cs="Arial"/>
        </w:rPr>
        <w:t>d</w:t>
      </w:r>
      <w:r w:rsidRPr="00F4704B">
        <w:rPr>
          <w:rFonts w:ascii="Arial" w:hAnsi="Arial" w:cs="Arial"/>
        </w:rPr>
        <w:t xml:space="preserve"> that </w:t>
      </w:r>
      <w:r w:rsidRPr="00F4704B">
        <w:rPr>
          <w:rFonts w:ascii="Arial" w:hAnsi="Arial" w:cs="Arial"/>
          <w:bCs/>
        </w:rPr>
        <w:t xml:space="preserve">sustained collaboration, rather than </w:t>
      </w:r>
      <w:r w:rsidR="00F4704B" w:rsidRPr="00F4704B">
        <w:rPr>
          <w:rFonts w:ascii="Arial" w:hAnsi="Arial" w:cs="Arial"/>
          <w:bCs/>
        </w:rPr>
        <w:t>one-off convenings</w:t>
      </w:r>
      <w:r w:rsidRPr="00F4704B">
        <w:rPr>
          <w:rFonts w:ascii="Arial" w:hAnsi="Arial" w:cs="Arial"/>
          <w:bCs/>
        </w:rPr>
        <w:t xml:space="preserve">, </w:t>
      </w:r>
      <w:r w:rsidR="00F4704B" w:rsidRPr="00F4704B">
        <w:rPr>
          <w:rFonts w:ascii="Arial" w:hAnsi="Arial" w:cs="Arial"/>
          <w:bCs/>
        </w:rPr>
        <w:t>can influence</w:t>
      </w:r>
      <w:r w:rsidRPr="00F4704B">
        <w:rPr>
          <w:rFonts w:ascii="Arial" w:hAnsi="Arial" w:cs="Arial"/>
          <w:bCs/>
        </w:rPr>
        <w:t xml:space="preserve"> whether momentum turns into jobs, enterprise growth, and inclusion</w:t>
      </w:r>
      <w:r w:rsidRPr="00F4704B">
        <w:rPr>
          <w:rFonts w:ascii="Arial" w:hAnsi="Arial" w:cs="Arial"/>
        </w:rPr>
        <w:t>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 xml:space="preserve">Key Highlights from the </w:t>
      </w:r>
      <w:proofErr w:type="spellStart"/>
      <w:r w:rsidRPr="00F4704B">
        <w:rPr>
          <w:rFonts w:ascii="Arial" w:hAnsi="Arial" w:cs="Arial"/>
          <w:b/>
          <w:bCs/>
        </w:rPr>
        <w:t>Uasin</w:t>
      </w:r>
      <w:proofErr w:type="spellEnd"/>
      <w:r w:rsidRPr="00F4704B">
        <w:rPr>
          <w:rFonts w:ascii="Arial" w:hAnsi="Arial" w:cs="Arial"/>
          <w:b/>
          <w:bCs/>
        </w:rPr>
        <w:t xml:space="preserve"> Gishu </w:t>
      </w:r>
      <w:proofErr w:type="spellStart"/>
      <w:r w:rsidRPr="00F4704B">
        <w:rPr>
          <w:rFonts w:ascii="Arial" w:hAnsi="Arial" w:cs="Arial"/>
          <w:b/>
          <w:bCs/>
        </w:rPr>
        <w:t>Biashara</w:t>
      </w:r>
      <w:proofErr w:type="spellEnd"/>
      <w:r w:rsidR="00F4704B" w:rsidRPr="00F4704B">
        <w:rPr>
          <w:rFonts w:ascii="Arial" w:hAnsi="Arial" w:cs="Arial"/>
          <w:b/>
          <w:bCs/>
        </w:rPr>
        <w:t xml:space="preserve"> </w:t>
      </w:r>
      <w:proofErr w:type="spellStart"/>
      <w:r w:rsidRPr="00F4704B">
        <w:rPr>
          <w:rFonts w:ascii="Arial" w:hAnsi="Arial" w:cs="Arial"/>
          <w:b/>
          <w:bCs/>
        </w:rPr>
        <w:t>Pawa</w:t>
      </w:r>
      <w:proofErr w:type="spellEnd"/>
      <w:r w:rsidRPr="00F4704B">
        <w:rPr>
          <w:rFonts w:ascii="Arial" w:hAnsi="Arial" w:cs="Arial"/>
          <w:b/>
          <w:bCs/>
        </w:rPr>
        <w:t xml:space="preserve"> Dialogue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High public-sector engagement potential:</w:t>
      </w:r>
      <w:r w:rsidRPr="00F4704B">
        <w:rPr>
          <w:rFonts w:ascii="Arial" w:hAnsi="Arial" w:cs="Arial"/>
        </w:rPr>
        <w:t xml:space="preserve"> A strong majority of participants indicated they were likely to seek further entrepreneurship support information from the County Government of </w:t>
      </w:r>
      <w:proofErr w:type="spellStart"/>
      <w:r w:rsidRPr="00F4704B">
        <w:rPr>
          <w:rFonts w:ascii="Arial" w:hAnsi="Arial" w:cs="Arial"/>
        </w:rPr>
        <w:t>Uasin</w:t>
      </w:r>
      <w:proofErr w:type="spellEnd"/>
      <w:r w:rsidRPr="00F4704B">
        <w:rPr>
          <w:rFonts w:ascii="Arial" w:hAnsi="Arial" w:cs="Arial"/>
        </w:rPr>
        <w:t xml:space="preserve"> Gishu.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Ecosystem convening worked:</w:t>
      </w:r>
      <w:r w:rsidRPr="00F4704B">
        <w:rPr>
          <w:rFonts w:ascii="Arial" w:hAnsi="Arial" w:cs="Arial"/>
        </w:rPr>
        <w:t xml:space="preserve"> The event successfully brought together county government, national agencies, academia, private sector actors, ESOs, financial institutions, and business associations in one forum.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Networking was a high-value outcome:</w:t>
      </w:r>
      <w:r w:rsidRPr="00F4704B">
        <w:rPr>
          <w:rFonts w:ascii="Arial" w:hAnsi="Arial" w:cs="Arial"/>
        </w:rPr>
        <w:t xml:space="preserve"> Participants rated networking and peer connection as one of the most valuable aspects of the event.</w:t>
      </w:r>
    </w:p>
    <w:p w:rsidR="00F2471A" w:rsidRPr="00F2471A" w:rsidRDefault="004F510D" w:rsidP="00F2471A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Participants strongly valued the learning environment:</w:t>
      </w:r>
      <w:r w:rsidRPr="00F4704B">
        <w:rPr>
          <w:rFonts w:ascii="Arial" w:hAnsi="Arial" w:cs="Arial"/>
        </w:rPr>
        <w:t xml:space="preserve"> The dialogue was positively received as a platform that supports women and youth entrepreneurship</w:t>
      </w:r>
      <w:hyperlink r:id="rId10" w:history="1">
        <w:r w:rsidR="00F2471A" w:rsidRPr="00F2471A">
          <w:rPr>
            <w:rFonts w:ascii="Arial" w:eastAsia="Georgia" w:hAnsi="Arial" w:cs="Arial"/>
            <w:color w:val="0563C1" w:themeColor="hyperlink"/>
            <w:u w:val="single"/>
          </w:rPr>
          <w:t>, aligning with 93% of Kenyan women considering entrepreneurship</w:t>
        </w:r>
      </w:hyperlink>
      <w:r w:rsidR="00F2471A" w:rsidRPr="00F2471A">
        <w:rPr>
          <w:rFonts w:ascii="Arial" w:eastAsia="Georgia" w:hAnsi="Arial" w:cs="Arial"/>
          <w:color w:val="000000"/>
        </w:rPr>
        <w:t xml:space="preserve">. </w:t>
      </w:r>
      <w:bookmarkStart w:id="2" w:name="fnref5"/>
      <w:bookmarkEnd w:id="2"/>
      <w:r w:rsidR="00F2471A" w:rsidRPr="00F2471A">
        <w:rPr>
          <w:rFonts w:ascii="Arial" w:hAnsi="Arial" w:cs="Arial"/>
        </w:rPr>
        <w:t xml:space="preserve"> 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Sector-specific breakout discussions generated practical outputs:</w:t>
      </w:r>
      <w:r w:rsidRPr="00F4704B">
        <w:rPr>
          <w:rFonts w:ascii="Arial" w:hAnsi="Arial" w:cs="Arial"/>
        </w:rPr>
        <w:t xml:space="preserve"> Solutions and recommendations reflected real sector needs rather than generic entrepreneurship advice.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Agribusiness and technology were especially prominent:</w:t>
      </w:r>
      <w:r w:rsidRPr="00F4704B">
        <w:rPr>
          <w:rFonts w:ascii="Arial" w:hAnsi="Arial" w:cs="Arial"/>
        </w:rPr>
        <w:t xml:space="preserve"> This aligned with county economic realities and the strengths of local ecosystem support structures.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t>Mentorship demand is clear and actionable:</w:t>
      </w:r>
      <w:r w:rsidRPr="00F4704B">
        <w:rPr>
          <w:rFonts w:ascii="Arial" w:hAnsi="Arial" w:cs="Arial"/>
        </w:rPr>
        <w:t xml:space="preserve"> Participants prioritised financial literacy and access to finance, scaling and networking, and business idea validation and market research.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  <w:bCs/>
          <w:u w:val="single"/>
        </w:rPr>
        <w:lastRenderedPageBreak/>
        <w:t>Inclusion gaps remain in some target sectors:</w:t>
      </w:r>
      <w:r w:rsidRPr="00F4704B">
        <w:rPr>
          <w:rFonts w:ascii="Arial" w:hAnsi="Arial" w:cs="Arial"/>
        </w:rPr>
        <w:t xml:space="preserve"> Low representation from areas such as blue economy </w:t>
      </w:r>
      <w:r w:rsidR="00F4704B">
        <w:rPr>
          <w:rFonts w:ascii="Arial" w:hAnsi="Arial" w:cs="Arial"/>
        </w:rPr>
        <w:t>and infrastructure such limited resource opportunities e.g. in blue economy; but for infrastructure</w:t>
      </w:r>
      <w:r w:rsidR="001A7A52">
        <w:rPr>
          <w:rFonts w:ascii="Arial" w:hAnsi="Arial" w:cs="Arial"/>
        </w:rPr>
        <w:t xml:space="preserve"> the low representation may highlight the</w:t>
      </w:r>
      <w:r w:rsidRPr="00F4704B">
        <w:rPr>
          <w:rFonts w:ascii="Arial" w:hAnsi="Arial" w:cs="Arial"/>
        </w:rPr>
        <w:t xml:space="preserve"> need for more intentional outreach in future engagements</w:t>
      </w:r>
      <w:r w:rsidR="001A7A52">
        <w:rPr>
          <w:rFonts w:ascii="Arial" w:hAnsi="Arial" w:cs="Arial"/>
        </w:rPr>
        <w:t>, and/or a minimal presence of women and youth entrepreneurship in infrastructure sector in the county</w:t>
      </w:r>
      <w:r w:rsidRPr="00F4704B">
        <w:rPr>
          <w:rFonts w:ascii="Arial" w:hAnsi="Arial" w:cs="Arial"/>
        </w:rPr>
        <w:t>.</w:t>
      </w:r>
    </w:p>
    <w:p w:rsidR="004F510D" w:rsidRPr="00F4704B" w:rsidRDefault="004F510D" w:rsidP="00F4704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u w:val="single"/>
        </w:rPr>
        <w:t>Entrepreneurship is a county development issue:</w:t>
      </w:r>
      <w:r w:rsidRPr="00F4704B">
        <w:rPr>
          <w:rFonts w:ascii="Arial" w:hAnsi="Arial" w:cs="Arial"/>
        </w:rPr>
        <w:t xml:space="preserve"> The dialogue connected enterprise growth to inclusive development, resilience, and long-term county competitiveness.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</w:p>
    <w:p w:rsidR="004F510D" w:rsidRPr="00F4704B" w:rsidRDefault="00F4704B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 xml:space="preserve">Proposed Next Steps </w:t>
      </w:r>
      <w:proofErr w:type="gramStart"/>
      <w:r w:rsidRPr="00F4704B">
        <w:rPr>
          <w:rFonts w:ascii="Arial" w:hAnsi="Arial" w:cs="Arial"/>
          <w:b/>
          <w:bCs/>
        </w:rPr>
        <w:t>For</w:t>
      </w:r>
      <w:proofErr w:type="gramEnd"/>
      <w:r w:rsidRPr="00F4704B">
        <w:rPr>
          <w:rFonts w:ascii="Arial" w:hAnsi="Arial" w:cs="Arial"/>
          <w:b/>
          <w:bCs/>
        </w:rPr>
        <w:t xml:space="preserve"> </w:t>
      </w:r>
      <w:r w:rsidR="001A7A52">
        <w:rPr>
          <w:rFonts w:ascii="Arial" w:hAnsi="Arial" w:cs="Arial"/>
          <w:b/>
          <w:bCs/>
        </w:rPr>
        <w:t xml:space="preserve">The </w:t>
      </w:r>
      <w:r w:rsidRPr="00F4704B">
        <w:rPr>
          <w:rFonts w:ascii="Arial" w:hAnsi="Arial" w:cs="Arial"/>
          <w:b/>
          <w:bCs/>
        </w:rPr>
        <w:t xml:space="preserve">Entrepreneurship Ecosystem Actors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The dialogue brought out useful actions and recommendations that </w:t>
      </w:r>
      <w:r w:rsidR="00F4704B" w:rsidRPr="00F4704B">
        <w:rPr>
          <w:rFonts w:ascii="Arial" w:hAnsi="Arial" w:cs="Arial"/>
        </w:rPr>
        <w:t>call for</w:t>
      </w:r>
      <w:r w:rsidRPr="00F4704B">
        <w:rPr>
          <w:rFonts w:ascii="Arial" w:hAnsi="Arial" w:cs="Arial"/>
        </w:rPr>
        <w:t xml:space="preserve"> a shared implementation agenda. </w:t>
      </w:r>
    </w:p>
    <w:p w:rsidR="004F510D" w:rsidRPr="001A7A52" w:rsidRDefault="004F510D" w:rsidP="00F4704B">
      <w:pPr>
        <w:spacing w:line="360" w:lineRule="auto"/>
        <w:rPr>
          <w:rFonts w:ascii="Arial" w:hAnsi="Arial" w:cs="Arial"/>
          <w:b/>
          <w:bCs/>
          <w:u w:val="single"/>
        </w:rPr>
      </w:pPr>
      <w:r w:rsidRPr="001A7A52">
        <w:rPr>
          <w:rFonts w:ascii="Arial" w:hAnsi="Arial" w:cs="Arial"/>
          <w:b/>
          <w:bCs/>
          <w:u w:val="single"/>
        </w:rPr>
        <w:t>1) Build the Enabling Conditions for Enterprise Growth</w:t>
      </w:r>
    </w:p>
    <w:p w:rsidR="004F510D" w:rsidRPr="00F4704B" w:rsidRDefault="004F510D" w:rsidP="00F4704B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Strengthen TVET and industry alignment</w:t>
      </w:r>
      <w:r w:rsid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through supportive regulation and structured collaboration on curriculum and skills development.</w:t>
      </w:r>
    </w:p>
    <w:p w:rsidR="004F510D" w:rsidRPr="00F4704B" w:rsidRDefault="004F510D" w:rsidP="00F4704B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Invest in enabling infrastructure</w:t>
      </w:r>
      <w:r w:rsidR="001A7A52" w:rsidRP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(roads, water, sewerage, and digital connectivity) that directly affects enterprise productivity and market access.</w:t>
      </w:r>
    </w:p>
    <w:p w:rsidR="004F510D" w:rsidRPr="00F4704B" w:rsidRDefault="004F510D" w:rsidP="00F4704B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Expand enterprise finance mechanisms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for youth and women, including grants, revolving funds, and support for collective financing models such as </w:t>
      </w:r>
      <w:hyperlink r:id="rId11" w:history="1">
        <w:proofErr w:type="spellStart"/>
        <w:r w:rsidRPr="00F4704B">
          <w:rPr>
            <w:rStyle w:val="Hyperlink"/>
            <w:rFonts w:ascii="Arial" w:hAnsi="Arial" w:cs="Arial"/>
          </w:rPr>
          <w:t>chamas</w:t>
        </w:r>
        <w:proofErr w:type="spellEnd"/>
      </w:hyperlink>
      <w:r w:rsidRPr="00F4704B">
        <w:rPr>
          <w:rFonts w:ascii="Arial" w:hAnsi="Arial" w:cs="Arial"/>
        </w:rPr>
        <w:t>.</w:t>
      </w:r>
    </w:p>
    <w:p w:rsidR="00F2471A" w:rsidRPr="00F2471A" w:rsidRDefault="004F510D" w:rsidP="00F2471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Use incentives to support transition sectors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such as recycling, renewable energy, and digital transformation.</w:t>
      </w:r>
      <w:r w:rsidR="00F2471A">
        <w:rPr>
          <w:rFonts w:ascii="Arial" w:hAnsi="Arial" w:cs="Arial"/>
        </w:rPr>
        <w:t xml:space="preserve"> For example, </w:t>
      </w:r>
      <w:hyperlink r:id="rId12" w:history="1">
        <w:r w:rsidR="00F2471A">
          <w:rPr>
            <w:rStyle w:val="Hyperlink"/>
            <w:rFonts w:ascii="Arial" w:hAnsi="Arial" w:cs="Arial"/>
          </w:rPr>
          <w:t>t</w:t>
        </w:r>
        <w:r w:rsidR="00F2471A" w:rsidRPr="00F2471A">
          <w:rPr>
            <w:rStyle w:val="Hyperlink"/>
            <w:rFonts w:ascii="Arial" w:hAnsi="Arial" w:cs="Arial"/>
          </w:rPr>
          <w:t xml:space="preserve">he World Bank’s </w:t>
        </w:r>
        <w:proofErr w:type="spellStart"/>
        <w:r w:rsidR="00F2471A" w:rsidRPr="00F2471A">
          <w:rPr>
            <w:rStyle w:val="Hyperlink"/>
            <w:rFonts w:ascii="Arial" w:hAnsi="Arial" w:cs="Arial"/>
          </w:rPr>
          <w:t>Ujasiriamali's</w:t>
        </w:r>
        <w:proofErr w:type="spellEnd"/>
        <w:r w:rsidR="00F2471A" w:rsidRPr="00F2471A">
          <w:rPr>
            <w:rStyle w:val="Hyperlink"/>
            <w:rFonts w:ascii="Arial" w:hAnsi="Arial" w:cs="Arial"/>
          </w:rPr>
          <w:t xml:space="preserve"> demonstrates that micro and small entrepreneurship is a credible pathway for youth, with the right financial support</w:t>
        </w:r>
      </w:hyperlink>
      <w:r w:rsidR="00F2471A" w:rsidRPr="00F2471A">
        <w:rPr>
          <w:rFonts w:ascii="Arial" w:hAnsi="Arial" w:cs="Arial"/>
        </w:rPr>
        <w:t xml:space="preserve">. </w:t>
      </w:r>
    </w:p>
    <w:p w:rsidR="004F510D" w:rsidRPr="00F4704B" w:rsidRDefault="004F510D" w:rsidP="00F4704B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1A7A52">
        <w:rPr>
          <w:rFonts w:ascii="Arial" w:hAnsi="Arial" w:cs="Arial"/>
          <w:bCs/>
          <w:i/>
        </w:rPr>
        <w:t>Institutionalise</w:t>
      </w:r>
      <w:proofErr w:type="spellEnd"/>
      <w:r w:rsidRPr="001A7A52">
        <w:rPr>
          <w:rFonts w:ascii="Arial" w:hAnsi="Arial" w:cs="Arial"/>
          <w:bCs/>
          <w:i/>
        </w:rPr>
        <w:t xml:space="preserve"> participatory policymaking</w:t>
      </w:r>
      <w:r w:rsidR="001A7A52">
        <w:rPr>
          <w:rFonts w:ascii="Arial" w:hAnsi="Arial" w:cs="Arial"/>
        </w:rPr>
        <w:t xml:space="preserve">: </w:t>
      </w:r>
      <w:r w:rsidRPr="00F4704B">
        <w:rPr>
          <w:rFonts w:ascii="Arial" w:hAnsi="Arial" w:cs="Arial"/>
        </w:rPr>
        <w:t>by holding regular forums with entrepreneurs and ecosystem stakeholders during policy design.</w:t>
      </w:r>
    </w:p>
    <w:p w:rsidR="004F510D" w:rsidRPr="00F4704B" w:rsidRDefault="004F510D" w:rsidP="00F4704B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Address social norms and stereotypes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through community forums, youth engagements, and public awareness initiatives.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2) Fund Systems, Not Only Startups</w:t>
      </w:r>
    </w:p>
    <w:p w:rsidR="004F510D" w:rsidRPr="00F4704B" w:rsidRDefault="004F510D" w:rsidP="00F4704B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Invest in ecosystem infrastructure</w:t>
      </w:r>
      <w:r w:rsidR="001A7A52">
        <w:rPr>
          <w:rFonts w:ascii="Arial" w:hAnsi="Arial" w:cs="Arial"/>
        </w:rPr>
        <w:t xml:space="preserve">: such as </w:t>
      </w:r>
      <w:r w:rsidRPr="00F4704B">
        <w:rPr>
          <w:rFonts w:ascii="Arial" w:hAnsi="Arial" w:cs="Arial"/>
        </w:rPr>
        <w:t>local hubs, coordination mechanisms, data systems</w:t>
      </w:r>
      <w:r w:rsidR="001A7A52">
        <w:rPr>
          <w:rFonts w:ascii="Arial" w:hAnsi="Arial" w:cs="Arial"/>
        </w:rPr>
        <w:t>, and policy dialogue platforms</w:t>
      </w:r>
      <w:r w:rsidRPr="00F4704B">
        <w:rPr>
          <w:rFonts w:ascii="Arial" w:hAnsi="Arial" w:cs="Arial"/>
        </w:rPr>
        <w:t xml:space="preserve">, </w:t>
      </w:r>
      <w:r w:rsidR="001A7A52">
        <w:rPr>
          <w:rFonts w:ascii="Arial" w:hAnsi="Arial" w:cs="Arial"/>
        </w:rPr>
        <w:t xml:space="preserve">moving beyond </w:t>
      </w:r>
      <w:r w:rsidRPr="00F4704B">
        <w:rPr>
          <w:rFonts w:ascii="Arial" w:hAnsi="Arial" w:cs="Arial"/>
        </w:rPr>
        <w:t>only direct enterprise grants.</w:t>
      </w:r>
    </w:p>
    <w:p w:rsidR="004F510D" w:rsidRPr="00F4704B" w:rsidRDefault="004F510D" w:rsidP="00F4704B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lastRenderedPageBreak/>
        <w:t>Support blended models</w:t>
      </w:r>
      <w:r w:rsid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that combine mentorship, market access, finance readiness, and business development support.</w:t>
      </w:r>
    </w:p>
    <w:p w:rsidR="004F510D" w:rsidRPr="00F4704B" w:rsidRDefault="004F510D" w:rsidP="00F4704B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Fund inclusion strategies for underrepresented sectors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where participation barriers require tailored outreach and ecosystem support.</w:t>
      </w:r>
    </w:p>
    <w:p w:rsidR="004F510D" w:rsidRPr="00F4704B" w:rsidRDefault="004F510D" w:rsidP="00F4704B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Back trusted local conveners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such as </w:t>
      </w:r>
      <w:proofErr w:type="spellStart"/>
      <w:r w:rsidRPr="00F4704B">
        <w:rPr>
          <w:rFonts w:ascii="Arial" w:hAnsi="Arial" w:cs="Arial"/>
        </w:rPr>
        <w:t>EldoHub</w:t>
      </w:r>
      <w:proofErr w:type="spellEnd"/>
      <w:r w:rsidRPr="00F4704B">
        <w:rPr>
          <w:rFonts w:ascii="Arial" w:hAnsi="Arial" w:cs="Arial"/>
        </w:rPr>
        <w:t xml:space="preserve"> </w:t>
      </w:r>
      <w:r w:rsidR="001A7A52">
        <w:rPr>
          <w:rFonts w:ascii="Arial" w:hAnsi="Arial" w:cs="Arial"/>
        </w:rPr>
        <w:t xml:space="preserve">and other local ecosystem </w:t>
      </w:r>
      <w:proofErr w:type="spellStart"/>
      <w:r w:rsidR="001A7A52">
        <w:rPr>
          <w:rFonts w:ascii="Arial" w:hAnsi="Arial" w:cs="Arial"/>
        </w:rPr>
        <w:t>organisations</w:t>
      </w:r>
      <w:proofErr w:type="spellEnd"/>
      <w:r w:rsidR="001A7A52">
        <w:rPr>
          <w:rFonts w:ascii="Arial" w:hAnsi="Arial" w:cs="Arial"/>
        </w:rPr>
        <w:t xml:space="preserve"> </w:t>
      </w:r>
      <w:r w:rsidRPr="00F4704B">
        <w:rPr>
          <w:rFonts w:ascii="Arial" w:hAnsi="Arial" w:cs="Arial"/>
        </w:rPr>
        <w:t xml:space="preserve">that can </w:t>
      </w:r>
      <w:proofErr w:type="spellStart"/>
      <w:r w:rsidRPr="00F4704B">
        <w:rPr>
          <w:rFonts w:ascii="Arial" w:hAnsi="Arial" w:cs="Arial"/>
        </w:rPr>
        <w:t>mobilise</w:t>
      </w:r>
      <w:proofErr w:type="spellEnd"/>
      <w:r w:rsidRPr="00F4704B">
        <w:rPr>
          <w:rFonts w:ascii="Arial" w:hAnsi="Arial" w:cs="Arial"/>
        </w:rPr>
        <w:t xml:space="preserve"> stakeholders and translate policy and </w:t>
      </w:r>
      <w:proofErr w:type="spellStart"/>
      <w:r w:rsidRPr="00F4704B">
        <w:rPr>
          <w:rFonts w:ascii="Arial" w:hAnsi="Arial" w:cs="Arial"/>
        </w:rPr>
        <w:t>programme</w:t>
      </w:r>
      <w:proofErr w:type="spellEnd"/>
      <w:r w:rsidRPr="00F4704B">
        <w:rPr>
          <w:rFonts w:ascii="Arial" w:hAnsi="Arial" w:cs="Arial"/>
        </w:rPr>
        <w:t xml:space="preserve"> opportunities into action.</w:t>
      </w:r>
    </w:p>
    <w:p w:rsidR="004F510D" w:rsidRDefault="004F510D" w:rsidP="00F4704B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Finance evidence and learning loops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so county actors can continuously improve </w:t>
      </w:r>
      <w:proofErr w:type="spellStart"/>
      <w:r w:rsidRPr="00F4704B">
        <w:rPr>
          <w:rFonts w:ascii="Arial" w:hAnsi="Arial" w:cs="Arial"/>
        </w:rPr>
        <w:t>programme</w:t>
      </w:r>
      <w:proofErr w:type="spellEnd"/>
      <w:r w:rsidRPr="00F4704B">
        <w:rPr>
          <w:rFonts w:ascii="Arial" w:hAnsi="Arial" w:cs="Arial"/>
        </w:rPr>
        <w:t xml:space="preserve"> and policy design using local data.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3) Lower the Friction to Participation and Growth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Develop accessible finance products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for women and youth entrepreneurs, including flexible terms and partnerships with SACCOs, </w:t>
      </w:r>
      <w:proofErr w:type="spellStart"/>
      <w:r w:rsidRPr="00F4704B">
        <w:rPr>
          <w:rFonts w:ascii="Arial" w:hAnsi="Arial" w:cs="Arial"/>
        </w:rPr>
        <w:t>chamas</w:t>
      </w:r>
      <w:proofErr w:type="spellEnd"/>
      <w:r w:rsidRPr="00F4704B">
        <w:rPr>
          <w:rFonts w:ascii="Arial" w:hAnsi="Arial" w:cs="Arial"/>
        </w:rPr>
        <w:t>, and cooperatives.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Co-design practical training pathways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with TVETs and ecosystem actors to build technical and entrepreneurial readiness.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Expand mentorship and market linkages</w:t>
      </w:r>
      <w:r w:rsid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to help enterprises move from survival to growth.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Co-host trade fairs and sector showcases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with county government and ESOs to improve visibility and business opportunities.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Support affordable digital transformation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through tools, shared services, and practical capacity building.</w:t>
      </w:r>
    </w:p>
    <w:p w:rsidR="004F510D" w:rsidRPr="00F4704B" w:rsidRDefault="004F510D" w:rsidP="00F4704B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Collaborate on research and innovation transfer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to improve productivity in agriculture, manufacturing, and green enterprise sectors.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4) Deepen the Ecosystem Enabler Role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Scale entrepreneur capacity-building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in financial management, record-keeping, digital literacy, and technology adoption.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Strengthen sector-specific incubation and peer learning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for high-potential sectors such as agribusiness, manufacturing, green enterprise, and financial services.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lastRenderedPageBreak/>
        <w:t>Translate policy and regulatory information</w:t>
      </w:r>
      <w:r w:rsidR="001A7A52" w:rsidRPr="001A7A52">
        <w:rPr>
          <w:rFonts w:ascii="Arial" w:hAnsi="Arial" w:cs="Arial"/>
          <w:i/>
        </w:rPr>
        <w:t>:</w:t>
      </w:r>
      <w:r w:rsidRPr="00F4704B">
        <w:rPr>
          <w:rFonts w:ascii="Arial" w:hAnsi="Arial" w:cs="Arial"/>
        </w:rPr>
        <w:t xml:space="preserve"> into</w:t>
      </w:r>
      <w:r w:rsidR="001A7A52">
        <w:rPr>
          <w:rFonts w:ascii="Arial" w:hAnsi="Arial" w:cs="Arial"/>
        </w:rPr>
        <w:t xml:space="preserve"> entrepreneur-friendly formats </w:t>
      </w:r>
      <w:r w:rsidRPr="00F4704B">
        <w:rPr>
          <w:rFonts w:ascii="Arial" w:hAnsi="Arial" w:cs="Arial"/>
        </w:rPr>
        <w:t>e.g., updates from KRA, NEMA, KIRDI and related agencies</w:t>
      </w:r>
      <w:r w:rsidR="001A7A52">
        <w:rPr>
          <w:rFonts w:ascii="Arial" w:hAnsi="Arial" w:cs="Arial"/>
        </w:rPr>
        <w:t xml:space="preserve"> need to be presented to entrepreneurs and the public in language and formats that relevant to the audiences.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Build local data and referral systems</w:t>
      </w:r>
      <w:r w:rsidR="001A7A52">
        <w:rPr>
          <w:rFonts w:ascii="Arial" w:hAnsi="Arial" w:cs="Arial"/>
        </w:rPr>
        <w:t>:</w:t>
      </w:r>
      <w:r w:rsidRPr="00F4704B">
        <w:rPr>
          <w:rFonts w:ascii="Arial" w:hAnsi="Arial" w:cs="Arial"/>
        </w:rPr>
        <w:t xml:space="preserve"> that help entrepreneurs connect to finance, investors, markets, and support services.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Sustain policy advocacy on inclusion and fair access</w:t>
      </w:r>
      <w:r w:rsid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to finance and enterprise opportunities.</w:t>
      </w:r>
    </w:p>
    <w:p w:rsidR="004F510D" w:rsidRPr="00F4704B" w:rsidRDefault="004F510D" w:rsidP="00F4704B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A7A52">
        <w:rPr>
          <w:rFonts w:ascii="Arial" w:hAnsi="Arial" w:cs="Arial"/>
          <w:bCs/>
          <w:i/>
        </w:rPr>
        <w:t>Maintain regular dialogue and showcase platforms</w:t>
      </w:r>
      <w:r w:rsidR="001A7A52">
        <w:rPr>
          <w:rFonts w:ascii="Arial" w:hAnsi="Arial" w:cs="Arial"/>
          <w:bCs/>
          <w:i/>
        </w:rPr>
        <w:t>:</w:t>
      </w:r>
      <w:r w:rsidRPr="00F4704B">
        <w:rPr>
          <w:rFonts w:ascii="Arial" w:hAnsi="Arial" w:cs="Arial"/>
        </w:rPr>
        <w:t xml:space="preserve"> to keep ecosystem relationships active between major convenings</w:t>
      </w:r>
      <w:r w:rsidR="001A7A52">
        <w:rPr>
          <w:rFonts w:ascii="Arial" w:hAnsi="Arial" w:cs="Arial"/>
        </w:rPr>
        <w:t xml:space="preserve"> and consider having regular convenings bringing together ecosystem actors for concerted and collective impact in shared areas of opportunity</w:t>
      </w:r>
      <w:r w:rsidRPr="00F4704B">
        <w:rPr>
          <w:rFonts w:ascii="Arial" w:hAnsi="Arial" w:cs="Arial"/>
        </w:rPr>
        <w:t>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  <w:b/>
          <w:bCs/>
        </w:rPr>
      </w:pPr>
      <w:r w:rsidRPr="00F4704B">
        <w:rPr>
          <w:rFonts w:ascii="Arial" w:hAnsi="Arial" w:cs="Arial"/>
          <w:b/>
          <w:bCs/>
        </w:rPr>
        <w:t>County Ecosystems Are Where Inclusive Growth Becomes Real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The </w:t>
      </w:r>
      <w:proofErr w:type="spellStart"/>
      <w:r w:rsidRPr="00F4704B">
        <w:rPr>
          <w:rFonts w:ascii="Arial" w:hAnsi="Arial" w:cs="Arial"/>
        </w:rPr>
        <w:t>BiasharaPawa</w:t>
      </w:r>
      <w:proofErr w:type="spellEnd"/>
      <w:r w:rsidRPr="00F4704B">
        <w:rPr>
          <w:rFonts w:ascii="Arial" w:hAnsi="Arial" w:cs="Arial"/>
        </w:rPr>
        <w:t xml:space="preserve"> </w:t>
      </w:r>
      <w:r w:rsidR="00707F02">
        <w:rPr>
          <w:rFonts w:ascii="Arial" w:hAnsi="Arial" w:cs="Arial"/>
        </w:rPr>
        <w:t>d</w:t>
      </w:r>
      <w:r w:rsidRPr="00F4704B">
        <w:rPr>
          <w:rFonts w:ascii="Arial" w:hAnsi="Arial" w:cs="Arial"/>
        </w:rPr>
        <w:t xml:space="preserve">ialogue </w:t>
      </w:r>
      <w:r w:rsidR="00707F02">
        <w:rPr>
          <w:rFonts w:ascii="Arial" w:hAnsi="Arial" w:cs="Arial"/>
        </w:rPr>
        <w:t xml:space="preserve">discussions brought to the </w:t>
      </w:r>
      <w:r w:rsidR="00F2471A">
        <w:rPr>
          <w:rFonts w:ascii="Arial" w:hAnsi="Arial" w:cs="Arial"/>
        </w:rPr>
        <w:t>fore the</w:t>
      </w:r>
      <w:r w:rsidR="00707F02">
        <w:rPr>
          <w:rFonts w:ascii="Arial" w:hAnsi="Arial" w:cs="Arial"/>
        </w:rPr>
        <w:t xml:space="preserve"> potential for ecosystem success when </w:t>
      </w:r>
      <w:r w:rsidRPr="00F4704B">
        <w:rPr>
          <w:rFonts w:ascii="Arial" w:hAnsi="Arial" w:cs="Arial"/>
        </w:rPr>
        <w:t>county government, local hubs, entrepreneurs, financial institutions, and development partners work from shared evidence and practical commitments.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The barriers </w:t>
      </w:r>
      <w:r w:rsidR="00707F02">
        <w:rPr>
          <w:rFonts w:ascii="Arial" w:hAnsi="Arial" w:cs="Arial"/>
        </w:rPr>
        <w:t xml:space="preserve">identified were </w:t>
      </w:r>
      <w:r w:rsidRPr="00F4704B">
        <w:rPr>
          <w:rFonts w:ascii="Arial" w:hAnsi="Arial" w:cs="Arial"/>
        </w:rPr>
        <w:t>not new</w:t>
      </w:r>
      <w:r w:rsidR="00707F02">
        <w:rPr>
          <w:rFonts w:ascii="Arial" w:hAnsi="Arial" w:cs="Arial"/>
        </w:rPr>
        <w:t xml:space="preserve"> and the </w:t>
      </w:r>
      <w:r w:rsidRPr="00F4704B">
        <w:rPr>
          <w:rFonts w:ascii="Arial" w:hAnsi="Arial" w:cs="Arial"/>
        </w:rPr>
        <w:t>opportunit</w:t>
      </w:r>
      <w:r w:rsidR="00707F02">
        <w:rPr>
          <w:rFonts w:ascii="Arial" w:hAnsi="Arial" w:cs="Arial"/>
        </w:rPr>
        <w:t xml:space="preserve">ies were clear. </w:t>
      </w:r>
      <w:r w:rsidRPr="00F4704B">
        <w:rPr>
          <w:rFonts w:ascii="Arial" w:hAnsi="Arial" w:cs="Arial"/>
        </w:rPr>
        <w:t xml:space="preserve"> 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  <w:r w:rsidRPr="00F4704B">
        <w:rPr>
          <w:rFonts w:ascii="Arial" w:hAnsi="Arial" w:cs="Arial"/>
        </w:rPr>
        <w:t xml:space="preserve">When entrepreneurship support up-levels to </w:t>
      </w:r>
      <w:r w:rsidRPr="00F4704B">
        <w:rPr>
          <w:rFonts w:ascii="Arial" w:hAnsi="Arial" w:cs="Arial"/>
          <w:bCs/>
        </w:rPr>
        <w:t>coordinated implementation</w:t>
      </w:r>
      <w:r w:rsidR="00707F02">
        <w:rPr>
          <w:rFonts w:ascii="Arial" w:hAnsi="Arial" w:cs="Arial"/>
        </w:rPr>
        <w:t xml:space="preserve">; specifically, </w:t>
      </w:r>
      <w:r w:rsidRPr="00F4704B">
        <w:rPr>
          <w:rFonts w:ascii="Arial" w:hAnsi="Arial" w:cs="Arial"/>
        </w:rPr>
        <w:t>around finance access, infrastructure, skills alignment, and inclusive policymaking</w:t>
      </w:r>
      <w:r w:rsidR="00707F02">
        <w:rPr>
          <w:rFonts w:ascii="Arial" w:hAnsi="Arial" w:cs="Arial"/>
        </w:rPr>
        <w:t xml:space="preserve">; a coordinated approach </w:t>
      </w:r>
      <w:r w:rsidRPr="00F4704B">
        <w:rPr>
          <w:rFonts w:ascii="Arial" w:hAnsi="Arial" w:cs="Arial"/>
        </w:rPr>
        <w:t xml:space="preserve">can serve as a county-level model for how </w:t>
      </w:r>
      <w:r w:rsidR="00707F02">
        <w:rPr>
          <w:rFonts w:ascii="Arial" w:hAnsi="Arial" w:cs="Arial"/>
        </w:rPr>
        <w:t xml:space="preserve">to </w:t>
      </w:r>
      <w:r w:rsidRPr="00F4704B">
        <w:rPr>
          <w:rFonts w:ascii="Arial" w:hAnsi="Arial" w:cs="Arial"/>
        </w:rPr>
        <w:t>strengthen entrepreneurship ecosystems that deliver jobs, innovation, and inclusive development.</w:t>
      </w:r>
    </w:p>
    <w:p w:rsidR="00F2471A" w:rsidRDefault="00F2471A" w:rsidP="00F4704B">
      <w:pPr>
        <w:spacing w:line="360" w:lineRule="auto"/>
        <w:rPr>
          <w:rFonts w:ascii="Arial" w:hAnsi="Arial" w:cs="Arial"/>
        </w:rPr>
      </w:pPr>
      <w:r w:rsidRPr="00F2471A">
        <w:rPr>
          <w:rFonts w:ascii="Arial" w:hAnsi="Arial" w:cs="Arial"/>
        </w:rPr>
        <w:t xml:space="preserve">The insights from this dialogue signal that investing in county ecosystems today will unlock sustainable growth, </w:t>
      </w:r>
      <w:r>
        <w:rPr>
          <w:rFonts w:ascii="Arial" w:hAnsi="Arial" w:cs="Arial"/>
        </w:rPr>
        <w:t xml:space="preserve">create opportunities and </w:t>
      </w:r>
      <w:r w:rsidRPr="00F2471A">
        <w:rPr>
          <w:rFonts w:ascii="Arial" w:hAnsi="Arial" w:cs="Arial"/>
        </w:rPr>
        <w:t>empower w</w:t>
      </w:r>
      <w:r>
        <w:rPr>
          <w:rFonts w:ascii="Arial" w:hAnsi="Arial" w:cs="Arial"/>
        </w:rPr>
        <w:t>omen and youth-led enterprises</w:t>
      </w:r>
      <w:r w:rsidRPr="00F2471A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 xml:space="preserve">can </w:t>
      </w:r>
      <w:r w:rsidRPr="00F2471A">
        <w:rPr>
          <w:rFonts w:ascii="Arial" w:hAnsi="Arial" w:cs="Arial"/>
        </w:rPr>
        <w:t xml:space="preserve">position </w:t>
      </w:r>
      <w:proofErr w:type="spellStart"/>
      <w:r w:rsidRPr="00F2471A">
        <w:rPr>
          <w:rFonts w:ascii="Arial" w:hAnsi="Arial" w:cs="Arial"/>
        </w:rPr>
        <w:t>Uasin</w:t>
      </w:r>
      <w:proofErr w:type="spellEnd"/>
      <w:r w:rsidRPr="00F2471A">
        <w:rPr>
          <w:rFonts w:ascii="Arial" w:hAnsi="Arial" w:cs="Arial"/>
        </w:rPr>
        <w:t xml:space="preserve"> Gishu </w:t>
      </w:r>
      <w:r>
        <w:rPr>
          <w:rFonts w:ascii="Arial" w:hAnsi="Arial" w:cs="Arial"/>
        </w:rPr>
        <w:t>county’s vital role in Kenya’s development beyond agriculture</w:t>
      </w:r>
      <w:r w:rsidRPr="00F2471A">
        <w:rPr>
          <w:rFonts w:ascii="Arial" w:hAnsi="Arial" w:cs="Arial"/>
        </w:rPr>
        <w:t>.</w:t>
      </w:r>
    </w:p>
    <w:p w:rsidR="004F510D" w:rsidRPr="00F4704B" w:rsidRDefault="004F510D" w:rsidP="00F4704B">
      <w:pPr>
        <w:spacing w:line="360" w:lineRule="auto"/>
        <w:rPr>
          <w:rFonts w:ascii="Arial" w:hAnsi="Arial" w:cs="Arial"/>
        </w:rPr>
      </w:pPr>
    </w:p>
    <w:p w:rsidR="0009455B" w:rsidRDefault="0009455B"/>
    <w:sectPr w:rsidR="0009455B" w:rsidSect="004640FC">
      <w:footerReference w:type="default" r:id="rId13"/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CC" w:rsidRDefault="007364CC" w:rsidP="00F4704B">
      <w:pPr>
        <w:spacing w:after="0" w:line="240" w:lineRule="auto"/>
      </w:pPr>
      <w:r>
        <w:separator/>
      </w:r>
    </w:p>
  </w:endnote>
  <w:endnote w:type="continuationSeparator" w:id="0">
    <w:p w:rsidR="007364CC" w:rsidRDefault="007364CC" w:rsidP="00F4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77987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4704B" w:rsidRPr="00F4704B" w:rsidRDefault="00F4704B">
        <w:pPr>
          <w:pStyle w:val="Footer"/>
          <w:jc w:val="right"/>
          <w:rPr>
            <w:sz w:val="16"/>
            <w:szCs w:val="16"/>
          </w:rPr>
        </w:pPr>
        <w:r w:rsidRPr="00F4704B">
          <w:rPr>
            <w:sz w:val="16"/>
            <w:szCs w:val="16"/>
          </w:rPr>
          <w:fldChar w:fldCharType="begin"/>
        </w:r>
        <w:r w:rsidRPr="00F4704B">
          <w:rPr>
            <w:sz w:val="16"/>
            <w:szCs w:val="16"/>
          </w:rPr>
          <w:instrText xml:space="preserve"> PAGE   \* MERGEFORMAT </w:instrText>
        </w:r>
        <w:r w:rsidRPr="00F4704B">
          <w:rPr>
            <w:sz w:val="16"/>
            <w:szCs w:val="16"/>
          </w:rPr>
          <w:fldChar w:fldCharType="separate"/>
        </w:r>
        <w:r w:rsidR="00F2471A">
          <w:rPr>
            <w:noProof/>
            <w:sz w:val="16"/>
            <w:szCs w:val="16"/>
          </w:rPr>
          <w:t>6</w:t>
        </w:r>
        <w:r w:rsidRPr="00F4704B">
          <w:rPr>
            <w:noProof/>
            <w:sz w:val="16"/>
            <w:szCs w:val="16"/>
          </w:rPr>
          <w:fldChar w:fldCharType="end"/>
        </w:r>
      </w:p>
    </w:sdtContent>
  </w:sdt>
  <w:p w:rsidR="00F4704B" w:rsidRDefault="00F47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CC" w:rsidRDefault="007364CC" w:rsidP="00F4704B">
      <w:pPr>
        <w:spacing w:after="0" w:line="240" w:lineRule="auto"/>
      </w:pPr>
      <w:r>
        <w:separator/>
      </w:r>
    </w:p>
  </w:footnote>
  <w:footnote w:type="continuationSeparator" w:id="0">
    <w:p w:rsidR="007364CC" w:rsidRDefault="007364CC" w:rsidP="00F47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21A7"/>
    <w:multiLevelType w:val="multilevel"/>
    <w:tmpl w:val="6970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20B1E"/>
    <w:multiLevelType w:val="multilevel"/>
    <w:tmpl w:val="737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37370"/>
    <w:multiLevelType w:val="multilevel"/>
    <w:tmpl w:val="9F3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77B2A"/>
    <w:multiLevelType w:val="multilevel"/>
    <w:tmpl w:val="7EE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7FEF"/>
    <w:multiLevelType w:val="multilevel"/>
    <w:tmpl w:val="7964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E4D58"/>
    <w:multiLevelType w:val="hybridMultilevel"/>
    <w:tmpl w:val="B7F6DEDC"/>
    <w:lvl w:ilvl="0" w:tplc="2482E6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60CC238">
      <w:numFmt w:val="decimal"/>
      <w:lvlText w:val=""/>
      <w:lvlJc w:val="left"/>
    </w:lvl>
    <w:lvl w:ilvl="2" w:tplc="5FA46B04">
      <w:numFmt w:val="decimal"/>
      <w:lvlText w:val=""/>
      <w:lvlJc w:val="left"/>
    </w:lvl>
    <w:lvl w:ilvl="3" w:tplc="16285868">
      <w:numFmt w:val="decimal"/>
      <w:lvlText w:val=""/>
      <w:lvlJc w:val="left"/>
    </w:lvl>
    <w:lvl w:ilvl="4" w:tplc="21087F54">
      <w:numFmt w:val="decimal"/>
      <w:lvlText w:val=""/>
      <w:lvlJc w:val="left"/>
    </w:lvl>
    <w:lvl w:ilvl="5" w:tplc="1FA672D6">
      <w:numFmt w:val="decimal"/>
      <w:lvlText w:val=""/>
      <w:lvlJc w:val="left"/>
    </w:lvl>
    <w:lvl w:ilvl="6" w:tplc="FE4AF50C">
      <w:numFmt w:val="decimal"/>
      <w:lvlText w:val=""/>
      <w:lvlJc w:val="left"/>
    </w:lvl>
    <w:lvl w:ilvl="7" w:tplc="83642C8C">
      <w:numFmt w:val="decimal"/>
      <w:lvlText w:val=""/>
      <w:lvlJc w:val="left"/>
    </w:lvl>
    <w:lvl w:ilvl="8" w:tplc="769EE81C">
      <w:numFmt w:val="decimal"/>
      <w:lvlText w:val=""/>
      <w:lvlJc w:val="left"/>
    </w:lvl>
  </w:abstractNum>
  <w:abstractNum w:abstractNumId="6" w15:restartNumberingAfterBreak="0">
    <w:nsid w:val="6FC40998"/>
    <w:multiLevelType w:val="multilevel"/>
    <w:tmpl w:val="8D36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0D"/>
    <w:rsid w:val="0009455B"/>
    <w:rsid w:val="001A7A52"/>
    <w:rsid w:val="004640FC"/>
    <w:rsid w:val="004F510D"/>
    <w:rsid w:val="0057419F"/>
    <w:rsid w:val="006447E5"/>
    <w:rsid w:val="00707F02"/>
    <w:rsid w:val="007364CC"/>
    <w:rsid w:val="00E86A6B"/>
    <w:rsid w:val="00ED3F96"/>
    <w:rsid w:val="00F2471A"/>
    <w:rsid w:val="00F4704B"/>
    <w:rsid w:val="00F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08DB-F90D-4E41-B039-70C411A9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1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4B"/>
  </w:style>
  <w:style w:type="paragraph" w:styleId="Footer">
    <w:name w:val="footer"/>
    <w:basedOn w:val="Normal"/>
    <w:link w:val="FooterChar"/>
    <w:uiPriority w:val="99"/>
    <w:unhideWhenUsed/>
    <w:rsid w:val="00F4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space.cgiar.org/server/api/core/bitstreams/e74c4bab-1de8-4c66-8f89-9477cdf14573/cont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nyachamber.or.ke/2025/06/05/kncci-addresses-critical-barriers-for-msmes-during-the-unlocking-finance-for-young-women-entrepreneurs-dialogue/" TargetMode="External"/><Relationship Id="rId12" Type="http://schemas.openxmlformats.org/officeDocument/2006/relationships/hyperlink" Target="https://www.worldbank.org/en/news/feature/2024/11/26/ujasiriamali-self-employment-and-job-creation-for-youth-in-ke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Chama_(investment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stercard.com/news/eemea/en/newsroom/press-releases/en/2025-1/march/93-women-in-kenya-considering-starting-or-running-their-own-busin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ulse/harnessing-economic-potential-women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Njoroge</dc:creator>
  <cp:keywords/>
  <dc:description/>
  <cp:lastModifiedBy>Charity Mbithe</cp:lastModifiedBy>
  <cp:revision>2</cp:revision>
  <dcterms:created xsi:type="dcterms:W3CDTF">2026-04-28T14:49:00Z</dcterms:created>
  <dcterms:modified xsi:type="dcterms:W3CDTF">2026-04-28T14:49:00Z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a6dafe33-d54c-419d-b27e-752a14108551</vt:lpwstr>
  </property>
</Properties>
</file>